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19C4BF9F" w:rsidR="00F370BD" w:rsidRPr="004C6225" w:rsidRDefault="00DD427E" w:rsidP="00DD427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Ohio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F370BD" w:rsidRPr="004C6225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>American Government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428F2FB1" w14:textId="62D34175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Opportunities for civic engagement with the structures of government are made possible through political and public policy processes.</w:t>
            </w:r>
          </w:p>
        </w:tc>
        <w:tc>
          <w:tcPr>
            <w:tcW w:w="622" w:type="dxa"/>
            <w:vAlign w:val="center"/>
          </w:tcPr>
          <w:p w14:paraId="0A256F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93503F5" w14:textId="20818130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61E5AD63" w14:textId="2345C510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399192" w14:textId="052D658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2926961" w14:textId="0913F07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46A5BA3F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04D87F5A" w14:textId="5EE6EF02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5C6BFDAF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71A966F" w14:textId="35F01A3C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572B4CB5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480861DA" w14:textId="5DCAA055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Political parties, interest groups and the media provide opportunities for civic involvement through various means.</w:t>
            </w:r>
          </w:p>
        </w:tc>
        <w:tc>
          <w:tcPr>
            <w:tcW w:w="622" w:type="dxa"/>
            <w:vAlign w:val="center"/>
          </w:tcPr>
          <w:p w14:paraId="049EC51C" w14:textId="67AECAF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332A9E96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6B98075" w14:textId="0512AA60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381EDC19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364D52C" w14:textId="12EE7FE7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E52EA7F" w14:textId="62AD8C12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4DFB1188" w14:textId="36E36F7F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4E3936A0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0C1E4A8" w14:textId="03F169A7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5F6ED0C2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5A13ACF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732E7850" w14:textId="13A7131C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Issues can be analyzed through the critical use of information from public records, surveys, research data and policy positions of advocacy groups.</w:t>
            </w:r>
          </w:p>
        </w:tc>
        <w:tc>
          <w:tcPr>
            <w:tcW w:w="622" w:type="dxa"/>
            <w:vAlign w:val="center"/>
          </w:tcPr>
          <w:p w14:paraId="58CA86A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C9C9C97" w14:textId="394B78F2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F304A96" w14:textId="1F6BA6EB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AAA2E8B" w14:textId="7FEF5863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DC83A00" w14:textId="1C1ED80F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565F1FC" w14:textId="6653884B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73011E2B" w14:textId="2DA0A513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EF5EB8" w14:textId="06E99F1A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4B8949B7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855365A" w14:textId="339B558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130743" w14:textId="07E09F6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D0A9D30" w14:textId="6CDDBDD4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1D51A6BB" w14:textId="65956AEB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ab/>
              <w:t>The processes of persuasion, compromise, consensus building and negotiation contribute to the resolution of conflicts and differences.</w:t>
            </w:r>
          </w:p>
        </w:tc>
        <w:tc>
          <w:tcPr>
            <w:tcW w:w="622" w:type="dxa"/>
            <w:vAlign w:val="center"/>
          </w:tcPr>
          <w:p w14:paraId="60761DE3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E657205" w14:textId="403AF849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4D3FA85" w14:textId="11C871BE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33E657B" w14:textId="798FFB8F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BC7FD1F" w14:textId="3DEC962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2465524" w14:textId="51C04616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3F3D3FD6" w14:textId="584D9F72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BC6D4F4" w14:textId="34EAB002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5E450D0" w14:textId="2A6EFD2B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2FCE992" w14:textId="7ED216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B994DBE" w14:textId="48F1BE2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3486BB6" w14:textId="7EF31630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37265F0F" w14:textId="77777777" w:rsidTr="00D76A94">
        <w:trPr>
          <w:trHeight w:val="124"/>
        </w:trPr>
        <w:tc>
          <w:tcPr>
            <w:tcW w:w="6390" w:type="dxa"/>
          </w:tcPr>
          <w:p w14:paraId="676311EC" w14:textId="3EC043BF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In the United States, people have </w:t>
            </w:r>
            <w:proofErr w:type="gramStart"/>
            <w:r>
              <w:rPr>
                <w:rFonts w:ascii="Arial" w:hAnsi="Arial" w:cs="Arial"/>
                <w:color w:val="262626"/>
                <w:sz w:val="22"/>
                <w:szCs w:val="22"/>
              </w:rPr>
              <w:t>rights which</w:t>
            </w:r>
            <w:proofErr w:type="gram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protect them from undue governmental interference. Rights carry </w:t>
            </w:r>
            <w:proofErr w:type="gramStart"/>
            <w:r>
              <w:rPr>
                <w:rFonts w:ascii="Arial" w:hAnsi="Arial" w:cs="Arial"/>
                <w:color w:val="262626"/>
                <w:sz w:val="22"/>
                <w:szCs w:val="22"/>
              </w:rPr>
              <w:t>responsibilities which help define how people use their rights and which</w:t>
            </w:r>
            <w:proofErr w:type="gram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require respect for the rights of others.</w:t>
            </w:r>
          </w:p>
        </w:tc>
        <w:tc>
          <w:tcPr>
            <w:tcW w:w="622" w:type="dxa"/>
            <w:vAlign w:val="center"/>
          </w:tcPr>
          <w:p w14:paraId="5EB3851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805B4F3" w14:textId="1294DD5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DFB8FD6" w14:textId="0AE19C3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6CA0279" w14:textId="65B6657D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ECDAE00" w14:textId="05A1D4DB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399323B" w14:textId="23156CBF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1728E192" w14:textId="30FE2CD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1662533E" w14:textId="4F759E1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52023A6" w14:textId="1040140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D048500" w14:textId="5D843F3E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16F27D8" w14:textId="7CF82C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05850F3" w14:textId="4B3273D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0F242D75" w14:textId="77777777" w:rsidTr="00D76A94">
        <w:trPr>
          <w:trHeight w:val="629"/>
        </w:trPr>
        <w:tc>
          <w:tcPr>
            <w:tcW w:w="6390" w:type="dxa"/>
          </w:tcPr>
          <w:p w14:paraId="561981B0" w14:textId="4BDBB470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Historically, the United States has struggled with majority rule and the extension of minority rights. As a result of this struggle, the government has increasingly extended civil rights to marginalized groups and broadened opportunities for participa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tion.</w:t>
            </w:r>
          </w:p>
        </w:tc>
        <w:tc>
          <w:tcPr>
            <w:tcW w:w="622" w:type="dxa"/>
            <w:vAlign w:val="center"/>
          </w:tcPr>
          <w:p w14:paraId="2B912278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9E40DC9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CF1E110" w14:textId="5F768FE4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6540532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058159A" w14:textId="62C29FBA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E415E88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3CD459FB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398CBA7D" w14:textId="4EA718C9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66DB321D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21E612C" w14:textId="7B6EBFD7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2829845" w14:textId="627AF831" w:rsidR="00F370BD" w:rsidRPr="00F370BD" w:rsidRDefault="00DD427E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  <w:bookmarkStart w:id="0" w:name="_GoBack"/>
            <w:bookmarkEnd w:id="0"/>
          </w:p>
        </w:tc>
        <w:tc>
          <w:tcPr>
            <w:tcW w:w="583" w:type="dxa"/>
            <w:vAlign w:val="center"/>
          </w:tcPr>
          <w:p w14:paraId="47186D41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6B5CF930" w14:textId="77777777" w:rsidTr="00D76A94">
        <w:trPr>
          <w:trHeight w:val="616"/>
        </w:trPr>
        <w:tc>
          <w:tcPr>
            <w:tcW w:w="6390" w:type="dxa"/>
          </w:tcPr>
          <w:p w14:paraId="79F0A8FB" w14:textId="0C206A7F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In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dividuals and organizations play a role within federal, state and local governments in helping to determine public (domestic and foreign) policy</w:t>
            </w:r>
            <w:r>
              <w:rPr>
                <w:rFonts w:ascii="Comic Sans MS" w:hAnsi="Comic Sans MS" w:cs="Comic Sans MS"/>
                <w:b/>
                <w:bCs/>
                <w:color w:val="262626"/>
                <w:sz w:val="22"/>
                <w:szCs w:val="22"/>
              </w:rPr>
              <w:t>.</w:t>
            </w:r>
          </w:p>
        </w:tc>
        <w:tc>
          <w:tcPr>
            <w:tcW w:w="622" w:type="dxa"/>
            <w:vAlign w:val="center"/>
          </w:tcPr>
          <w:p w14:paraId="208FB054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6C45D5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2BBFC283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695F60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20C4D98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5D09C58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5AEB383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D75E1C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3D42156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B3B602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FE5060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023E03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4AC2244F" w14:textId="77777777" w:rsidTr="00D76A94">
        <w:trPr>
          <w:trHeight w:val="332"/>
        </w:trPr>
        <w:tc>
          <w:tcPr>
            <w:tcW w:w="6390" w:type="dxa"/>
          </w:tcPr>
          <w:p w14:paraId="68D09F85" w14:textId="658857B8" w:rsidR="00F370BD" w:rsidRPr="004C6225" w:rsidRDefault="00DD427E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23.     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The federal government uses spending and tax policy to maintain economic stability and foster economic growth. Regulatory actions carry economic costs and benefits.</w:t>
            </w:r>
          </w:p>
        </w:tc>
        <w:tc>
          <w:tcPr>
            <w:tcW w:w="622" w:type="dxa"/>
            <w:vAlign w:val="center"/>
          </w:tcPr>
          <w:p w14:paraId="26849F8A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8E92C0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44AD98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6886A8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A6BD6B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06193F9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11A9492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668AAC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186C3198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9B7488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765E7E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B7ECE6D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265975"/>
    <w:rsid w:val="004C6225"/>
    <w:rsid w:val="00716F9A"/>
    <w:rsid w:val="00C52B8A"/>
    <w:rsid w:val="00C82AF0"/>
    <w:rsid w:val="00D76A94"/>
    <w:rsid w:val="00DD427E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cp:lastPrinted>2012-01-05T20:06:00Z</cp:lastPrinted>
  <dcterms:created xsi:type="dcterms:W3CDTF">2013-06-28T12:50:00Z</dcterms:created>
  <dcterms:modified xsi:type="dcterms:W3CDTF">2013-06-28T12:50:00Z</dcterms:modified>
</cp:coreProperties>
</file>